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D44" w:rsidRDefault="00507400" w:rsidP="00AF3588">
      <w:pPr>
        <w:spacing w:after="0" w:line="240" w:lineRule="auto"/>
        <w:jc w:val="center"/>
        <w:rPr>
          <w:rFonts w:ascii="Times New Roman" w:eastAsia="Times New Roman" w:hAnsi="Times New Roman" w:cs="Times New Roman"/>
          <w:b/>
          <w:sz w:val="28"/>
          <w:szCs w:val="28"/>
        </w:rPr>
      </w:pPr>
      <w:r w:rsidRPr="00AF3588">
        <w:rPr>
          <w:rFonts w:ascii="Times New Roman" w:eastAsia="Times New Roman" w:hAnsi="Times New Roman" w:cs="Times New Roman"/>
          <w:b/>
          <w:sz w:val="28"/>
          <w:szCs w:val="28"/>
        </w:rPr>
        <w:t>Student Exemplars</w:t>
      </w:r>
    </w:p>
    <w:p w:rsidR="00AF3588" w:rsidRPr="00AF3588" w:rsidRDefault="00AF3588" w:rsidP="00AF3588">
      <w:pPr>
        <w:spacing w:after="0" w:line="240" w:lineRule="auto"/>
        <w:jc w:val="center"/>
        <w:rPr>
          <w:rFonts w:ascii="Times New Roman" w:eastAsia="Times New Roman" w:hAnsi="Times New Roman" w:cs="Times New Roman"/>
          <w:b/>
          <w:sz w:val="28"/>
          <w:szCs w:val="28"/>
        </w:rPr>
      </w:pPr>
    </w:p>
    <w:p w:rsidR="00507400" w:rsidRDefault="00AF3588" w:rsidP="00605D4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entries are done in a chart form. Each entry has a title, date, LOT # (Remember that yellow sheet!), text evidence, and commentary. Notice the </w:t>
      </w:r>
      <w:r w:rsidRPr="00AF3588">
        <w:rPr>
          <w:rFonts w:ascii="Times New Roman" w:eastAsia="Times New Roman" w:hAnsi="Times New Roman" w:cs="Times New Roman"/>
          <w:sz w:val="24"/>
          <w:szCs w:val="24"/>
          <w:u w:val="single"/>
        </w:rPr>
        <w:t>level of commentary</w:t>
      </w:r>
      <w:r>
        <w:rPr>
          <w:rFonts w:ascii="Times New Roman" w:eastAsia="Times New Roman" w:hAnsi="Times New Roman" w:cs="Times New Roman"/>
          <w:sz w:val="24"/>
          <w:szCs w:val="24"/>
        </w:rPr>
        <w:t xml:space="preserve"> on these examples.</w:t>
      </w:r>
    </w:p>
    <w:p w:rsidR="00AF3588" w:rsidRPr="00605D44" w:rsidRDefault="00AF3588" w:rsidP="00605D44">
      <w:pPr>
        <w:spacing w:after="0" w:line="240" w:lineRule="auto"/>
        <w:rPr>
          <w:rFonts w:ascii="Times New Roman" w:eastAsia="Times New Roman" w:hAnsi="Times New Roman" w:cs="Times New Roman"/>
          <w:sz w:val="24"/>
          <w:szCs w:val="24"/>
        </w:rPr>
      </w:pPr>
    </w:p>
    <w:tbl>
      <w:tblPr>
        <w:tblStyle w:val="TableGrid"/>
        <w:tblW w:w="9952" w:type="dxa"/>
        <w:tblLayout w:type="fixed"/>
        <w:tblLook w:val="04A0"/>
      </w:tblPr>
      <w:tblGrid>
        <w:gridCol w:w="1604"/>
        <w:gridCol w:w="559"/>
        <w:gridCol w:w="373"/>
        <w:gridCol w:w="2984"/>
        <w:gridCol w:w="4432"/>
      </w:tblGrid>
      <w:tr w:rsidR="00507400" w:rsidTr="00507400">
        <w:trPr>
          <w:trHeight w:val="1083"/>
        </w:trPr>
        <w:tc>
          <w:tcPr>
            <w:tcW w:w="1604" w:type="dxa"/>
          </w:tcPr>
          <w:p w:rsidR="00507400" w:rsidRDefault="00507400" w:rsidP="00507400">
            <w:pPr>
              <w:spacing w:before="100" w:beforeAutospacing="1" w:after="100" w:afterAutospacing="1"/>
              <w:textAlignment w:val="baseline"/>
              <w:rPr>
                <w:rFonts w:ascii="Arial" w:eastAsia="Times New Roman" w:hAnsi="Arial" w:cs="Arial"/>
                <w:color w:val="000000"/>
              </w:rPr>
            </w:pPr>
            <w:r>
              <w:rPr>
                <w:rFonts w:ascii="Arial" w:eastAsia="Times New Roman" w:hAnsi="Arial" w:cs="Arial"/>
                <w:color w:val="000000"/>
              </w:rPr>
              <w:t xml:space="preserve">Nineteen Minutes by Jodi </w:t>
            </w:r>
            <w:proofErr w:type="spellStart"/>
            <w:r>
              <w:rPr>
                <w:rFonts w:ascii="Arial" w:eastAsia="Times New Roman" w:hAnsi="Arial" w:cs="Arial"/>
                <w:color w:val="000000"/>
              </w:rPr>
              <w:t>Picoult</w:t>
            </w:r>
            <w:proofErr w:type="spellEnd"/>
          </w:p>
        </w:tc>
        <w:tc>
          <w:tcPr>
            <w:tcW w:w="559" w:type="dxa"/>
          </w:tcPr>
          <w:p w:rsidR="00507400" w:rsidRDefault="00507400" w:rsidP="00507400">
            <w:pPr>
              <w:spacing w:before="100" w:beforeAutospacing="1" w:after="100" w:afterAutospacing="1"/>
              <w:textAlignment w:val="baseline"/>
              <w:rPr>
                <w:rFonts w:ascii="Arial" w:eastAsia="Times New Roman" w:hAnsi="Arial" w:cs="Arial"/>
                <w:color w:val="000000"/>
              </w:rPr>
            </w:pPr>
            <w:r>
              <w:rPr>
                <w:rFonts w:ascii="Arial" w:eastAsia="Times New Roman" w:hAnsi="Arial" w:cs="Arial"/>
                <w:color w:val="000000"/>
              </w:rPr>
              <w:t>9/ 21/11</w:t>
            </w:r>
          </w:p>
        </w:tc>
        <w:tc>
          <w:tcPr>
            <w:tcW w:w="373" w:type="dxa"/>
          </w:tcPr>
          <w:p w:rsidR="00507400" w:rsidRDefault="00507400" w:rsidP="00507400">
            <w:pPr>
              <w:spacing w:before="100" w:beforeAutospacing="1" w:after="100" w:afterAutospacing="1"/>
              <w:textAlignment w:val="baseline"/>
              <w:rPr>
                <w:rFonts w:ascii="Arial" w:eastAsia="Times New Roman" w:hAnsi="Arial" w:cs="Arial"/>
                <w:color w:val="000000"/>
              </w:rPr>
            </w:pPr>
            <w:r>
              <w:rPr>
                <w:rFonts w:ascii="Arial" w:eastAsia="Times New Roman" w:hAnsi="Arial" w:cs="Arial"/>
                <w:color w:val="000000"/>
              </w:rPr>
              <w:t>1</w:t>
            </w:r>
          </w:p>
        </w:tc>
        <w:tc>
          <w:tcPr>
            <w:tcW w:w="2984" w:type="dxa"/>
          </w:tcPr>
          <w:p w:rsidR="00507400" w:rsidRDefault="00507400" w:rsidP="00507400">
            <w:pPr>
              <w:spacing w:before="100" w:beforeAutospacing="1" w:after="100" w:afterAutospacing="1"/>
              <w:textAlignment w:val="baseline"/>
              <w:rPr>
                <w:rFonts w:ascii="Arial" w:eastAsia="Times New Roman" w:hAnsi="Arial" w:cs="Arial"/>
                <w:color w:val="000000"/>
              </w:rPr>
            </w:pPr>
            <w:r w:rsidRPr="00605D44">
              <w:rPr>
                <w:rFonts w:ascii="Arial" w:eastAsia="Times New Roman" w:hAnsi="Arial" w:cs="Arial"/>
                <w:i/>
                <w:iCs/>
                <w:color w:val="000000"/>
                <w:shd w:val="clear" w:color="auto" w:fill="D9D9D9"/>
              </w:rPr>
              <w:t>“The boy pulled a pistol from beneath his thigh and held it up to his own head… (Patrick): ‘Drop the gun or I will you shoot you.’ ”</w:t>
            </w:r>
            <w:r w:rsidRPr="00605D44">
              <w:rPr>
                <w:rFonts w:ascii="Arial" w:eastAsia="Times New Roman" w:hAnsi="Arial" w:cs="Arial"/>
                <w:color w:val="000000"/>
                <w:shd w:val="clear" w:color="auto" w:fill="D9D9D9"/>
              </w:rPr>
              <w:t xml:space="preserve"> </w:t>
            </w:r>
            <w:r w:rsidRPr="00605D44">
              <w:rPr>
                <w:rFonts w:ascii="Times New Roman" w:eastAsia="Times New Roman" w:hAnsi="Times New Roman" w:cs="Times New Roman"/>
                <w:sz w:val="24"/>
                <w:szCs w:val="24"/>
              </w:rPr>
              <w:br/>
            </w:r>
            <w:r w:rsidRPr="00605D44">
              <w:rPr>
                <w:rFonts w:ascii="Arial" w:eastAsia="Times New Roman" w:hAnsi="Arial" w:cs="Arial"/>
                <w:color w:val="000000"/>
              </w:rPr>
              <w:t>(page: 23)</w:t>
            </w:r>
            <w:r w:rsidRPr="00605D44">
              <w:rPr>
                <w:rFonts w:ascii="Times New Roman" w:eastAsia="Times New Roman" w:hAnsi="Times New Roman" w:cs="Times New Roman"/>
                <w:sz w:val="24"/>
                <w:szCs w:val="24"/>
              </w:rPr>
              <w:br/>
            </w:r>
          </w:p>
        </w:tc>
        <w:tc>
          <w:tcPr>
            <w:tcW w:w="4432" w:type="dxa"/>
          </w:tcPr>
          <w:p w:rsidR="00507400" w:rsidRDefault="00507400" w:rsidP="00507400">
            <w:pPr>
              <w:numPr>
                <w:ilvl w:val="0"/>
                <w:numId w:val="1"/>
              </w:numPr>
              <w:spacing w:before="100" w:beforeAutospacing="1" w:after="100" w:afterAutospacing="1"/>
              <w:textAlignment w:val="baseline"/>
              <w:rPr>
                <w:rFonts w:ascii="Arial" w:eastAsia="Times New Roman" w:hAnsi="Arial" w:cs="Arial"/>
                <w:color w:val="000000"/>
              </w:rPr>
            </w:pPr>
            <w:r w:rsidRPr="00605D44">
              <w:rPr>
                <w:rFonts w:ascii="Arial" w:eastAsia="Times New Roman" w:hAnsi="Arial" w:cs="Arial"/>
                <w:color w:val="000000"/>
              </w:rPr>
              <w:t>You have to give the detective points for trying, or any cop/detective/etc., for that matter. They want the criminal/suicidal person to live, but what’s the point in threatening them with the possibility of being shot if they wanted to take their own live in the first place? Are we cowards, even if our entire existence has led up to one point? Or are we cowards because we cling to life, no matter how bleak it seems? Does that make us cowards, or does it built us up into something that would put the word “bravery” to shame, because we’re willing to face the difficulties that walk hand-in-hand with a beating heart?</w:t>
            </w:r>
          </w:p>
          <w:p w:rsidR="00507400" w:rsidRDefault="00507400" w:rsidP="00507400">
            <w:pPr>
              <w:spacing w:before="100" w:beforeAutospacing="1" w:after="100" w:afterAutospacing="1"/>
              <w:textAlignment w:val="baseline"/>
              <w:rPr>
                <w:rFonts w:ascii="Arial" w:eastAsia="Times New Roman" w:hAnsi="Arial" w:cs="Arial"/>
                <w:color w:val="000000"/>
              </w:rPr>
            </w:pPr>
          </w:p>
        </w:tc>
      </w:tr>
    </w:tbl>
    <w:p w:rsidR="00507400" w:rsidRPr="00605D44" w:rsidRDefault="00507400" w:rsidP="00507400">
      <w:pPr>
        <w:spacing w:before="100" w:beforeAutospacing="1" w:after="100" w:afterAutospacing="1" w:line="240" w:lineRule="auto"/>
        <w:textAlignment w:val="baseline"/>
        <w:rPr>
          <w:rFonts w:ascii="Arial" w:eastAsia="Times New Roman" w:hAnsi="Arial" w:cs="Arial"/>
          <w:color w:val="000000"/>
        </w:rPr>
      </w:pPr>
    </w:p>
    <w:tbl>
      <w:tblPr>
        <w:tblW w:w="0" w:type="auto"/>
        <w:tblCellMar>
          <w:top w:w="15" w:type="dxa"/>
          <w:left w:w="15" w:type="dxa"/>
          <w:bottom w:w="15" w:type="dxa"/>
          <w:right w:w="15" w:type="dxa"/>
        </w:tblCellMar>
        <w:tblLook w:val="04A0"/>
      </w:tblPr>
      <w:tblGrid>
        <w:gridCol w:w="2276"/>
        <w:gridCol w:w="568"/>
        <w:gridCol w:w="333"/>
        <w:gridCol w:w="2046"/>
        <w:gridCol w:w="1530"/>
        <w:gridCol w:w="2817"/>
      </w:tblGrid>
      <w:tr w:rsidR="00507400" w:rsidRPr="00507400" w:rsidTr="00507400">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The Eye of the World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9-25-11</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3</w:t>
            </w:r>
          </w:p>
        </w:tc>
        <w:tc>
          <w:tcPr>
            <w:tcW w:w="0" w:type="auto"/>
            <w:gridSpan w:val="2"/>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"Unseen fingers touched him, pulled at his arms and legs, trying to draw him to the mountain. His body twitched, ready to obey</w:t>
            </w:r>
            <w:proofErr w:type="gramStart"/>
            <w:r w:rsidRPr="00507400">
              <w:rPr>
                <w:rFonts w:ascii="Arial" w:eastAsia="Times New Roman" w:hAnsi="Arial" w:cs="Arial"/>
                <w:color w:val="000000"/>
                <w:shd w:val="clear" w:color="auto" w:fill="FFFF00"/>
              </w:rPr>
              <w:t>..</w:t>
            </w:r>
            <w:proofErr w:type="gramEnd"/>
            <w:r w:rsidRPr="00507400">
              <w:rPr>
                <w:rFonts w:ascii="Arial" w:eastAsia="Times New Roman" w:hAnsi="Arial" w:cs="Arial"/>
                <w:color w:val="000000"/>
                <w:shd w:val="clear" w:color="auto" w:fill="FFFF00"/>
              </w:rPr>
              <w:t xml:space="preserve"> </w:t>
            </w:r>
            <w:proofErr w:type="gramStart"/>
            <w:r w:rsidRPr="00507400">
              <w:rPr>
                <w:rFonts w:ascii="Arial" w:eastAsia="Times New Roman" w:hAnsi="Arial" w:cs="Arial"/>
                <w:color w:val="000000"/>
                <w:shd w:val="clear" w:color="auto" w:fill="FFFF00"/>
              </w:rPr>
              <w:t>tears</w:t>
            </w:r>
            <w:proofErr w:type="gramEnd"/>
            <w:r w:rsidRPr="00507400">
              <w:rPr>
                <w:rFonts w:ascii="Arial" w:eastAsia="Times New Roman" w:hAnsi="Arial" w:cs="Arial"/>
                <w:color w:val="000000"/>
                <w:shd w:val="clear" w:color="auto" w:fill="FFFF00"/>
              </w:rPr>
              <w:t xml:space="preserve"> ran down his face, and he sagged to the ground. He felt his will draining away like water out of a holed bucket."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7400" w:rsidRPr="00507400" w:rsidRDefault="00507400" w:rsidP="00507400">
            <w:pPr>
              <w:spacing w:after="0" w:line="0" w:lineRule="atLeast"/>
              <w:rPr>
                <w:rFonts w:ascii="Times New Roman" w:eastAsia="Times New Roman" w:hAnsi="Times New Roman" w:cs="Times New Roman"/>
                <w:sz w:val="24"/>
                <w:szCs w:val="24"/>
              </w:rPr>
            </w:pPr>
            <w:r w:rsidRPr="00507400">
              <w:rPr>
                <w:rFonts w:ascii="Arial" w:eastAsia="Times New Roman" w:hAnsi="Arial" w:cs="Arial"/>
                <w:color w:val="000000"/>
                <w:shd w:val="clear" w:color="auto" w:fill="FFFF00"/>
              </w:rPr>
              <w:t>The simile used really displays how the will was being rapped from Rand. The description of the force pulling on Rand and his soul makes me picture a dark, sinister force giving him no choice but to obey.</w:t>
            </w:r>
          </w:p>
        </w:tc>
      </w:tr>
      <w:tr w:rsidR="00507400" w:rsidRPr="00507400" w:rsidTr="00507400">
        <w:tblPrEx>
          <w:tblCellMar>
            <w:top w:w="0" w:type="dxa"/>
            <w:left w:w="0" w:type="dxa"/>
            <w:bottom w:w="0" w:type="dxa"/>
            <w:right w:w="0" w:type="dxa"/>
          </w:tblCellMar>
        </w:tblPrEx>
        <w:trPr>
          <w:trHeight w:val="460"/>
        </w:trPr>
        <w:tc>
          <w:tcPr>
            <w:tcW w:w="22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t>Wuthering Heights</w:t>
            </w:r>
          </w:p>
          <w:p w:rsidR="00507400" w:rsidRP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t>8/30/11</w:t>
            </w:r>
          </w:p>
        </w:tc>
        <w:tc>
          <w:tcPr>
            <w:tcW w:w="3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3</w:t>
            </w:r>
          </w:p>
        </w:tc>
        <w:tc>
          <w:tcPr>
            <w:tcW w:w="246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r w:rsidRPr="00507400">
              <w:rPr>
                <w:rFonts w:ascii="Arial" w:eastAsia="Times New Roman" w:hAnsi="Arial" w:cs="Arial"/>
                <w:color w:val="000000"/>
              </w:rPr>
              <w:t>“Wretched inmates! You deserve perpetual isolation from your species for your churlish inhospitality.”</w:t>
            </w:r>
            <w:r>
              <w:rPr>
                <w:rFonts w:ascii="Arial" w:eastAsia="Times New Roman" w:hAnsi="Arial" w:cs="Arial"/>
                <w:color w:val="000000"/>
              </w:rPr>
              <w:t xml:space="preserve"> (pg.8)</w:t>
            </w:r>
          </w:p>
        </w:tc>
        <w:tc>
          <w:tcPr>
            <w:tcW w:w="446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proofErr w:type="spellStart"/>
            <w:r w:rsidRPr="00507400">
              <w:rPr>
                <w:rFonts w:ascii="Arial" w:eastAsia="Times New Roman" w:hAnsi="Arial" w:cs="Arial"/>
                <w:color w:val="000000"/>
              </w:rPr>
              <w:t>Brontë</w:t>
            </w:r>
            <w:proofErr w:type="spellEnd"/>
            <w:r w:rsidRPr="00507400">
              <w:rPr>
                <w:rFonts w:ascii="Arial" w:eastAsia="Times New Roman" w:hAnsi="Arial" w:cs="Arial"/>
                <w:color w:val="000000"/>
              </w:rPr>
              <w:t xml:space="preserve"> uses exaggeration, extreme diction, and haughty tone to convey Mr. Lockwood’s snobbery. Mr. Lockwood obviously thinks very highly of himself and is proud of his wide vocabulary; he believes himself to be more educated than the residents of Wuthering Heights. In this way, </w:t>
            </w:r>
            <w:proofErr w:type="spellStart"/>
            <w:r w:rsidRPr="00507400">
              <w:rPr>
                <w:rFonts w:ascii="Arial" w:eastAsia="Times New Roman" w:hAnsi="Arial" w:cs="Arial"/>
                <w:color w:val="000000"/>
              </w:rPr>
              <w:t>Brontë</w:t>
            </w:r>
            <w:proofErr w:type="spellEnd"/>
            <w:r w:rsidRPr="00507400">
              <w:rPr>
                <w:rFonts w:ascii="Arial" w:eastAsia="Times New Roman" w:hAnsi="Arial" w:cs="Arial"/>
                <w:color w:val="000000"/>
              </w:rPr>
              <w:t xml:space="preserve"> is using Mr. Lockwood’s word choice to develop his character in the story.</w:t>
            </w:r>
          </w:p>
        </w:tc>
      </w:tr>
      <w:tr w:rsidR="00507400" w:rsidRPr="00507400" w:rsidTr="00507400">
        <w:tblPrEx>
          <w:tblCellMar>
            <w:top w:w="0" w:type="dxa"/>
            <w:left w:w="0" w:type="dxa"/>
            <w:bottom w:w="0" w:type="dxa"/>
            <w:right w:w="0" w:type="dxa"/>
          </w:tblCellMar>
        </w:tblPrEx>
        <w:trPr>
          <w:trHeight w:val="460"/>
        </w:trPr>
        <w:tc>
          <w:tcPr>
            <w:tcW w:w="22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Wuthering Heights</w:t>
            </w:r>
          </w:p>
          <w:p w:rsidR="00507400" w:rsidRPr="00507400" w:rsidRDefault="00507400" w:rsidP="00507400">
            <w:pPr>
              <w:spacing w:after="0" w:line="240" w:lineRule="auto"/>
              <w:jc w:val="center"/>
              <w:rPr>
                <w:rFonts w:ascii="Arial" w:eastAsia="Times New Roman" w:hAnsi="Arial" w:cs="Arial"/>
                <w:color w:val="000000"/>
              </w:rPr>
            </w:pPr>
            <w:r>
              <w:rPr>
                <w:rFonts w:ascii="Arial" w:eastAsia="Times New Roman" w:hAnsi="Arial" w:cs="Arial"/>
                <w:color w:val="000000"/>
              </w:rPr>
              <w:t>9/19/11</w:t>
            </w:r>
          </w:p>
        </w:tc>
        <w:tc>
          <w:tcPr>
            <w:tcW w:w="3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4</w:t>
            </w:r>
          </w:p>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and</w:t>
            </w:r>
          </w:p>
          <w:p w:rsidR="00507400" w:rsidRPr="00507400" w:rsidRDefault="00507400" w:rsidP="00507400">
            <w:pPr>
              <w:spacing w:after="0" w:line="240" w:lineRule="auto"/>
              <w:jc w:val="center"/>
              <w:rPr>
                <w:rFonts w:ascii="Arial" w:eastAsia="Times New Roman" w:hAnsi="Arial" w:cs="Arial"/>
                <w:color w:val="000000"/>
              </w:rPr>
            </w:pPr>
            <w:r w:rsidRPr="00507400">
              <w:rPr>
                <w:rFonts w:ascii="Arial" w:eastAsia="Times New Roman" w:hAnsi="Arial" w:cs="Arial"/>
                <w:color w:val="000000"/>
              </w:rPr>
              <w:t>6</w:t>
            </w:r>
          </w:p>
        </w:tc>
        <w:tc>
          <w:tcPr>
            <w:tcW w:w="246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r w:rsidRPr="00507400">
              <w:rPr>
                <w:rFonts w:ascii="Arial" w:eastAsia="Times New Roman" w:hAnsi="Arial" w:cs="Arial"/>
                <w:color w:val="000000"/>
              </w:rPr>
              <w:t>“She put all of us past our patience fifty times and oftener in a day; we had not a minute’s security that she wouldn’t be in mischief. Her spirits were always at the high-water mark.”</w:t>
            </w:r>
            <w:r>
              <w:rPr>
                <w:rFonts w:ascii="Arial" w:eastAsia="Times New Roman" w:hAnsi="Arial" w:cs="Arial"/>
                <w:color w:val="000000"/>
              </w:rPr>
              <w:t xml:space="preserve"> (pg.44)</w:t>
            </w:r>
          </w:p>
        </w:tc>
        <w:tc>
          <w:tcPr>
            <w:tcW w:w="4467"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07400" w:rsidRPr="00507400" w:rsidRDefault="00507400" w:rsidP="00507400">
            <w:pPr>
              <w:spacing w:after="0" w:line="240" w:lineRule="auto"/>
              <w:rPr>
                <w:rFonts w:ascii="Arial" w:eastAsia="Times New Roman" w:hAnsi="Arial" w:cs="Arial"/>
                <w:color w:val="000000"/>
              </w:rPr>
            </w:pPr>
            <w:proofErr w:type="spellStart"/>
            <w:r w:rsidRPr="00507400">
              <w:rPr>
                <w:rFonts w:ascii="Arial" w:eastAsia="Times New Roman" w:hAnsi="Arial" w:cs="Arial"/>
                <w:color w:val="000000"/>
              </w:rPr>
              <w:t>Brontë’s</w:t>
            </w:r>
            <w:proofErr w:type="spellEnd"/>
            <w:r w:rsidRPr="00507400">
              <w:rPr>
                <w:rFonts w:ascii="Arial" w:eastAsia="Times New Roman" w:hAnsi="Arial" w:cs="Arial"/>
                <w:color w:val="000000"/>
              </w:rPr>
              <w:t xml:space="preserve"> heroine is very similar in personality to some of the leading women in Jane Austen’s novels. It seems as though the trend for female characters in books from that era were to be very high-spirited, smart, and mischievous. This is probably because in reality, women were not allowed to act that way. The oppressed women of the 1800’s wished to be as rebellious and free as the characters they wrote about.</w:t>
            </w:r>
          </w:p>
        </w:tc>
      </w:tr>
    </w:tbl>
    <w:p w:rsidR="00A63B8B" w:rsidRDefault="00A63B8B"/>
    <w:sectPr w:rsidR="00A63B8B" w:rsidSect="00A63B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A2C5A"/>
    <w:multiLevelType w:val="multilevel"/>
    <w:tmpl w:val="DCC2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5D44"/>
    <w:rsid w:val="00507400"/>
    <w:rsid w:val="00605D44"/>
    <w:rsid w:val="00660652"/>
    <w:rsid w:val="00A63B8B"/>
    <w:rsid w:val="00AF3588"/>
    <w:rsid w:val="00E359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B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740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5074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257124">
      <w:bodyDiv w:val="1"/>
      <w:marLeft w:val="0"/>
      <w:marRight w:val="0"/>
      <w:marTop w:val="0"/>
      <w:marBottom w:val="0"/>
      <w:divBdr>
        <w:top w:val="none" w:sz="0" w:space="0" w:color="auto"/>
        <w:left w:val="none" w:sz="0" w:space="0" w:color="auto"/>
        <w:bottom w:val="none" w:sz="0" w:space="0" w:color="auto"/>
        <w:right w:val="none" w:sz="0" w:space="0" w:color="auto"/>
      </w:divBdr>
      <w:divsChild>
        <w:div w:id="1227227957">
          <w:marLeft w:val="0"/>
          <w:marRight w:val="0"/>
          <w:marTop w:val="0"/>
          <w:marBottom w:val="0"/>
          <w:divBdr>
            <w:top w:val="none" w:sz="0" w:space="0" w:color="auto"/>
            <w:left w:val="none" w:sz="0" w:space="0" w:color="auto"/>
            <w:bottom w:val="none" w:sz="0" w:space="0" w:color="auto"/>
            <w:right w:val="none" w:sz="0" w:space="0" w:color="auto"/>
          </w:divBdr>
        </w:div>
      </w:divsChild>
    </w:div>
    <w:div w:id="250941978">
      <w:bodyDiv w:val="1"/>
      <w:marLeft w:val="0"/>
      <w:marRight w:val="0"/>
      <w:marTop w:val="0"/>
      <w:marBottom w:val="0"/>
      <w:divBdr>
        <w:top w:val="none" w:sz="0" w:space="0" w:color="auto"/>
        <w:left w:val="none" w:sz="0" w:space="0" w:color="auto"/>
        <w:bottom w:val="none" w:sz="0" w:space="0" w:color="auto"/>
        <w:right w:val="none" w:sz="0" w:space="0" w:color="auto"/>
      </w:divBdr>
    </w:div>
    <w:div w:id="325013430">
      <w:bodyDiv w:val="1"/>
      <w:marLeft w:val="0"/>
      <w:marRight w:val="0"/>
      <w:marTop w:val="0"/>
      <w:marBottom w:val="0"/>
      <w:divBdr>
        <w:top w:val="none" w:sz="0" w:space="0" w:color="auto"/>
        <w:left w:val="none" w:sz="0" w:space="0" w:color="auto"/>
        <w:bottom w:val="none" w:sz="0" w:space="0" w:color="auto"/>
        <w:right w:val="none" w:sz="0" w:space="0" w:color="auto"/>
      </w:divBdr>
    </w:div>
    <w:div w:id="199591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eharmon</dc:creator>
  <cp:keywords/>
  <dc:description/>
  <cp:lastModifiedBy>Tech Support</cp:lastModifiedBy>
  <cp:revision>2</cp:revision>
  <dcterms:created xsi:type="dcterms:W3CDTF">2013-05-23T20:20:00Z</dcterms:created>
  <dcterms:modified xsi:type="dcterms:W3CDTF">2013-05-23T20:20:00Z</dcterms:modified>
</cp:coreProperties>
</file>